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74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250B">
        <w:rPr>
          <w:rFonts w:ascii="Times New Roman" w:hAnsi="Times New Roman" w:cs="Times New Roman"/>
          <w:b/>
          <w:sz w:val="24"/>
          <w:szCs w:val="24"/>
        </w:rPr>
        <w:t xml:space="preserve">График проведения и содержание   </w:t>
      </w:r>
      <w:r w:rsidR="00367674" w:rsidRPr="00C9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СРС </w:t>
      </w:r>
    </w:p>
    <w:p w:rsidR="00711411" w:rsidRPr="00C9250B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950"/>
        <w:gridCol w:w="2693"/>
        <w:gridCol w:w="1559"/>
        <w:gridCol w:w="1134"/>
      </w:tblGrid>
      <w:tr w:rsidR="00367674" w:rsidRPr="00C9250B" w:rsidTr="00E3169B">
        <w:tc>
          <w:tcPr>
            <w:tcW w:w="456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задания</w:t>
            </w:r>
          </w:p>
        </w:tc>
        <w:tc>
          <w:tcPr>
            <w:tcW w:w="2693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134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67674" w:rsidRPr="00C9250B" w:rsidTr="00E3169B">
        <w:trPr>
          <w:trHeight w:val="734"/>
        </w:trPr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Закон </w:t>
            </w:r>
            <w:proofErr w:type="spellStart"/>
            <w:r w:rsidRPr="00815CD3">
              <w:t>Лермана</w:t>
            </w:r>
            <w:proofErr w:type="spellEnd"/>
            <w:r w:rsidRPr="00815CD3">
              <w:t xml:space="preserve">. Технологии управления проектами.  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rPr>
                <w:lang w:val="en-US"/>
              </w:rPr>
              <w:t>PR</w:t>
            </w:r>
            <w:r w:rsidRPr="00815CD3">
              <w:t xml:space="preserve"> в контексте мировых и казахстанских социально-экономических реалий </w:t>
            </w:r>
            <w:r w:rsidRPr="00815CD3">
              <w:rPr>
                <w:lang w:val="en-US"/>
              </w:rPr>
              <w:t>XXI</w:t>
            </w:r>
            <w:r w:rsidRPr="00815CD3">
              <w:t xml:space="preserve"> века.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C93DDC">
              <w:t xml:space="preserve">Характер движения информации по универсальной коммуникационной цепи, </w:t>
            </w:r>
            <w:r w:rsidRPr="00C93DDC">
              <w:rPr>
                <w:lang w:val="en-US"/>
              </w:rPr>
              <w:t>PR</w:t>
            </w:r>
            <w:r w:rsidRPr="00C93DDC">
              <w:t xml:space="preserve">-логика движения, </w:t>
            </w:r>
            <w:r w:rsidRPr="00C93DDC">
              <w:rPr>
                <w:lang w:val="en-US"/>
              </w:rPr>
              <w:t>PR</w:t>
            </w:r>
            <w:r w:rsidRPr="00C93DDC">
              <w:t>-компоненты процесс</w:t>
            </w:r>
            <w:r>
              <w:t>а, уровни восприятия информации</w:t>
            </w:r>
            <w:r w:rsidR="00367674" w:rsidRPr="00C9250B"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Структура возможных решений в рамках проектного подхода к </w:t>
            </w:r>
            <w:r w:rsidRPr="00815CD3">
              <w:rPr>
                <w:lang w:val="en-US"/>
              </w:rPr>
              <w:t>PR</w:t>
            </w:r>
            <w:r w:rsidRPr="00815CD3">
              <w:t>-деятельности.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Выборка ограниченного массива.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Отличия фокус-группы от традиционных методов исследования.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C93DDC">
              <w:t xml:space="preserve">Коммуникационный аудит как ситуационный анализ, предполагающий системное изучение функционирования </w:t>
            </w:r>
            <w:r w:rsidRPr="00C93DDC">
              <w:rPr>
                <w:lang w:val="en-US"/>
              </w:rPr>
              <w:t>PR</w:t>
            </w:r>
            <w:r w:rsidRPr="00C93DDC">
              <w:t>-службы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Сравнение позиций имиджа и репутации.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Локальный уровень оценки </w:t>
            </w:r>
            <w:r w:rsidRPr="00815CD3">
              <w:rPr>
                <w:lang w:val="en-US"/>
              </w:rPr>
              <w:t>PR</w:t>
            </w:r>
            <w:r w:rsidRPr="00815CD3">
              <w:t>-эффективности.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Подготовка проектной документации PR-проекта для участия в конкурсе, тендере.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Стратегия использования возможностей и нейтрализации препятствий.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</w:tcPr>
          <w:p w:rsidR="00367674" w:rsidRPr="00C9250B" w:rsidRDefault="00996134" w:rsidP="00996134">
            <w:pPr>
              <w:pStyle w:val="a3"/>
              <w:rPr>
                <w:bCs/>
                <w:color w:val="000000"/>
                <w:spacing w:val="-2"/>
              </w:rPr>
            </w:pPr>
            <w:r w:rsidRPr="00815CD3">
              <w:t>Стандарты по управлению проектами.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Организация специальных событий для развития навыков в области построения эффективных взаимоотношений в проектной группе и с заинтересованными лицами проекта.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 xml:space="preserve">Закон </w:t>
            </w:r>
            <w:proofErr w:type="spellStart"/>
            <w:r w:rsidRPr="00815CD3">
              <w:t>Кромера</w:t>
            </w:r>
            <w:proofErr w:type="spellEnd"/>
            <w:r w:rsidRPr="00815CD3">
              <w:t>, правило Брауна и наблюдение Марк Твена.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</w:tcPr>
          <w:p w:rsidR="00367674" w:rsidRPr="00C9250B" w:rsidRDefault="00996134" w:rsidP="00996134">
            <w:pPr>
              <w:pStyle w:val="a3"/>
            </w:pPr>
            <w:r w:rsidRPr="00815CD3">
              <w:t xml:space="preserve">Технологическая карта </w:t>
            </w:r>
            <w:r w:rsidRPr="00815CD3">
              <w:rPr>
                <w:lang w:val="en-US"/>
              </w:rPr>
              <w:t>PR</w:t>
            </w:r>
            <w:r w:rsidRPr="00815CD3">
              <w:t xml:space="preserve">-проекта, </w:t>
            </w:r>
            <w:r w:rsidRPr="00815CD3">
              <w:lastRenderedPageBreak/>
              <w:t xml:space="preserve">ее назначение и содержание. Типы рисков. Правило Лемма </w:t>
            </w:r>
            <w:proofErr w:type="spellStart"/>
            <w:r w:rsidRPr="00815CD3">
              <w:t>Салливена</w:t>
            </w:r>
            <w:proofErr w:type="spellEnd"/>
            <w:r w:rsidRPr="00815CD3">
              <w:t xml:space="preserve">, заповедь </w:t>
            </w:r>
            <w:proofErr w:type="spellStart"/>
            <w:r w:rsidRPr="00815CD3">
              <w:t>Хьюго</w:t>
            </w:r>
            <w:proofErr w:type="spellEnd"/>
            <w:r w:rsidRPr="00815CD3">
              <w:t xml:space="preserve"> и постулат </w:t>
            </w:r>
            <w:proofErr w:type="spellStart"/>
            <w:r w:rsidRPr="00815CD3">
              <w:t>Пуллиама</w:t>
            </w:r>
            <w:proofErr w:type="spellEnd"/>
            <w:r w:rsidRPr="00815CD3"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Экспресс- опрос, </w:t>
            </w: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50B">
        <w:rPr>
          <w:rFonts w:ascii="Times New Roman" w:hAnsi="Times New Roman" w:cs="Times New Roman"/>
          <w:sz w:val="24"/>
          <w:szCs w:val="24"/>
        </w:rPr>
        <w:t>СРС включает выполнение  домашних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C9250B">
        <w:rPr>
          <w:rStyle w:val="a7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ab/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367674" w:rsidRPr="00C9250B" w:rsidRDefault="00367674" w:rsidP="00C9250B">
      <w:pPr>
        <w:pStyle w:val="2"/>
        <w:rPr>
          <w:rStyle w:val="a7"/>
          <w:b w:val="0"/>
          <w:bCs/>
          <w:szCs w:val="24"/>
        </w:rPr>
      </w:pPr>
      <w:r w:rsidRPr="00C9250B">
        <w:rPr>
          <w:szCs w:val="24"/>
        </w:rPr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C9250B">
        <w:rPr>
          <w:szCs w:val="24"/>
        </w:rPr>
        <w:t>интернет-ресурсах</w:t>
      </w:r>
      <w:proofErr w:type="spellEnd"/>
      <w:r w:rsidRPr="00C9250B">
        <w:rPr>
          <w:szCs w:val="24"/>
        </w:rPr>
        <w:t>, ораторские способности.</w:t>
      </w: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74" w:rsidRDefault="005405DC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:         </w:t>
      </w:r>
    </w:p>
    <w:p w:rsidR="00C9250B" w:rsidRPr="00C9250B" w:rsidRDefault="00C9250B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Рассмотреть материалы в приложениях 1-5. Вспомнить, как анализировали их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на практическом занятии и давали ответы по схеме: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Рассказать кратко в общих чертах содержание материала. Один рассказывает, другие корректируют и дополняют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сформировал позитивное отношение к тому посылу, который содержится в материале?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готов совершить действия, к которым призывает материал?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Вспомнили?  Теперь изменим и усложним задачу: вам необходимо выбрать два материала из пяти, детально рассмотреть их и ответить письменно на два вопроса: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Что можно было спланировать лучше при подготовке этого материала?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Какие звенья универсальной коммуникационной цепи оказались вне зоны внимания PR-специалиста или журналиста, готовивших материалы, выбранные вами для анализа? </w:t>
      </w: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№1 </w:t>
      </w:r>
    </w:p>
    <w:p w:rsidR="005405DC" w:rsidRPr="005405DC" w:rsidRDefault="005405DC" w:rsidP="0054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Легендарная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будет работать в Казахстане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Довольно незаметно в середине лета прошла новость о подписании между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и британской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взаимопонимании. И сам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не акцентировал на этом событии особого внимания, да и меморандум — довольно абстрактный документ. Однако если посмотреть на подход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к ведению бизнеса на других рынках, а также сопоставить некоторые планы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и слухи, то можно сделать однозначный вывод, что важность произошедшего события явно недооценена.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Начнем с меморандума. Его цель — возможность использования телекоммуникационной сети и существующей инфраструктуры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с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инновационными решениями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VirginGroup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ходе реализации договоренностей, стороны намерены исследовать возможность запуска коммерческих услуг под торговой маркой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Казахстане, используя сетевые возможности и инфраструктуру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», включая LTE и технологии широкополосной передачи данных, после получения всех необходимых разрешений от регулирующих данную сферу государственных органов. Компании планируют начать сотрудничество с разработки бизнес-плана для выработки рыночной оценки и плана вхождения на рынок. При этом в ходе подписания меморандума председатель правления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КуанышбекЕсекеев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меморандум даст основу плодотворному сотрудничеству двух стран для создания совместного предприятия по предоставлению мобильных, интернет и ТВ-услуг в Казахстане. Кроме того, на своей страничке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в сентябре планируется приезд большой группы со стороны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«с инновационными телекоммуникационными бизнесами».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Другой факт — компания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являющаяся 100-процентной «дочкой»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после запуска 4G-сети объявляла и о планах выхода на рынок GSM-связи (сейчас компания является единственным в Казахстане оператором в стандарте CDMA и единственным обладателем лицензии на работу в стандарте 4G). Тогда же представители компании заявили, что не исключают и покупку казахстанского бизнеса Tele2 для этих целей. И вот недавно на рынке появился слух о том, что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будет выходить на GSM-рынок, используя инфраструктуру Tele2 в Казахстане. Т.е., по сути, если верить слуху,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будет виртуальным GSM-оператором.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http://profit.kz/articles/2007-Legendarnaya-Virgin-budet-rabotat-v-Kazahstane/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Определились первые финалисты конкурса "Алматы в 100 словах"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Определились первые финалисты литературного конкурса "Алматы в 100 словах", передает корреспондент Tengrinews.kz.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задумке организаторов конкурса, каждый желающий мог представить зарисовку в 100 словах об Алматы. Автор идеи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Бектемиров рассказал, что подобный конкурс проводила в 2012 году чилийская группа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Plagio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назывался он "Сантьяго в 100 словах", тогда на конкурс отправили более 58 тысяч рассказов. Бектемиров добавил, что этот конкурс можно позиционировать как своеобразный социальный проект. По задумке организаторов, тексты победителей могут быть размещены на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стендах, на остановках и вестибюлях метро. Он продлится до 31 октября.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состав жюри вошли: журналист Салима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Дуйсекова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поэт, один из организаторов фестиваля поэзии "Сөзыв" Павел Банников, поэт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АнуарДуйсенбинов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архитектор и дизайнер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НурланТуреханов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 По словам автора идеи Бектемирова, за первый месяц поступило около 60 рассказов, мнения жюри часто расходились, но в результате были определены первые шесть финалистов конкурса. Работы финалистов размещены на казахстанской блог-платформе. Представляем две из них: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6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http://tengrinews.kz/picture_art/opredelilis-pervyie-finalistyi-konkursa-almatyi-v-100-slovah-241629/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№3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Алматы выбрала молодежь города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В ходе специального опроса у молодых людей спрашивали, какими объектами города они гордятся и считают «жемчужинами»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Семь «чудес» Алматы выбрала студенческая молодежь, передает Tengrinews.kz со ссылкой на пресс-службу Управления по вопросам молодежной политики Алматы.</w:t>
      </w:r>
    </w:p>
    <w:p w:rsid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Накануне Дня города управление провело опрос среди молодежи, один из вопросов которого касался излюбленных мест досуга. Кроме того, у молодых людей спрашивали,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>какими объектами города они гордятся и считают «жемчужинами» или «чудесами»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результатам опроса был составлен рейтинг семи «чудес» Алматы. В число самых популярных объектов, вызывающих гордость у молодых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алматинцев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вошли Парк Первого Президента, метрополитен,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Шымбулак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Международный комплекс лыжных трамплинов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Сункар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Медео,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Кок-Тобе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небоскреб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EsentaiTower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«Зная, чем гордится молодежь, мы можем правильно воспитывать уважение и любовь к своему городу и стране. Самое интересное в том, что большая часть жемчужин — четыре из семи — построены в последние пять лет, а еще два полностью реконструированы», — рассказал руководитель Управления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Санжар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Бокаев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http://news.mail.ru/inworld/kazakhstan/society/14779835/?frommail=1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>Приложение №4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Мы провели вторую Международную научно-практическую конференцию  Сегодня (10.09.13) в Алматы проходит вторая Международная научно-практическая конференция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- "Операторы фиксированной связи: инновации, проблемы и опыт работы".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Участники конференции ведут дискуссии о перспективных технологиях, обсуждают эффективность существующей модели бизнеса операторов фиксированной связи, возможности создания сообщества с общими понятиями telco2.0, а также такие проблемы операторов фиксированной связи, как рост трафика и падение ARPU, влияние на деятельность компании оттока голосового трафика из сетей. В рамках конференции планируется выступление спикеров из Европы, России, Японии, Беларуси и Казахстана.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По словам главного директора по стратегическому управлению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Батыра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Маханбетажиева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такое общение не заменит никакое электронное. Это взгляд операторов, поставщиков, разработчиков оборудования связи, вузов в будущее, чтобы успеть за быстро растущими потребностями, - заключил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Б.Маханбетажиев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V Международного конгресса "Сверхсовременные телекоммуникации и системы управления". Участниками конгресса ICUMT являются представители университетов, операторы связи, производители телекоммуникационного оборудования, а также представители научно-исследовательских центров в области ИКТ.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 корпоративный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http://kazakhtelecom.yvision.kz/post/373208</w:t>
        </w:r>
      </w:hyperlink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СРСП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 xml:space="preserve">На СРСП возможны и необходимы следующие формы: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Дискуссии – </w:t>
      </w:r>
      <w:r w:rsidRPr="00C9250B">
        <w:rPr>
          <w:rFonts w:ascii="Times New Roman" w:hAnsi="Times New Roman" w:cs="Times New Roman"/>
          <w:bCs/>
          <w:sz w:val="24"/>
          <w:szCs w:val="24"/>
        </w:rPr>
        <w:t>активный метод обучения, в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 переводе с латинского языка </w:t>
      </w:r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>«</w:t>
      </w:r>
      <w:proofErr w:type="spellStart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  <w:lang w:val="en-US"/>
        </w:rPr>
        <w:t>discussio</w:t>
      </w:r>
      <w:proofErr w:type="spellEnd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» - 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это исследование или разбор. </w:t>
      </w:r>
      <w:r w:rsidRPr="00C9250B">
        <w:rPr>
          <w:rFonts w:ascii="Times New Roman" w:hAnsi="Times New Roman" w:cs="Times New Roman"/>
          <w:sz w:val="24"/>
          <w:szCs w:val="24"/>
        </w:rPr>
        <w:t>Это коллективное 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>SWOT – анализ</w:t>
      </w:r>
      <w:r w:rsidRPr="00C9250B">
        <w:rPr>
          <w:rFonts w:ascii="Times New Roman" w:hAnsi="Times New Roman" w:cs="Times New Roman"/>
          <w:sz w:val="24"/>
          <w:szCs w:val="24"/>
        </w:rPr>
        <w:t xml:space="preserve"> – это анализ сильных и слабых сторон научной проблемы или концепции.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50B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Круглый стол по данной научной проблеме</w:t>
      </w:r>
      <w:r w:rsidRPr="00C9250B">
        <w:rPr>
          <w:rFonts w:ascii="Times New Roman" w:hAnsi="Times New Roman" w:cs="Times New Roman"/>
          <w:sz w:val="24"/>
          <w:szCs w:val="24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 проектов – защита проекта </w:t>
      </w:r>
      <w:r w:rsidRPr="00C9250B">
        <w:rPr>
          <w:rFonts w:ascii="Times New Roman" w:hAnsi="Times New Roman" w:cs="Times New Roman"/>
          <w:sz w:val="24"/>
          <w:szCs w:val="24"/>
        </w:rPr>
        <w:t xml:space="preserve">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локальными. </w:t>
      </w:r>
      <w:r w:rsidRPr="00C9250B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Составление структуры финансовых институтов, мониторинг печатных изданий, сравнительный анализ </w:t>
      </w:r>
      <w:r w:rsidRPr="00C9250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9250B">
        <w:rPr>
          <w:rFonts w:ascii="Times New Roman" w:hAnsi="Times New Roman" w:cs="Times New Roman"/>
          <w:sz w:val="24"/>
          <w:szCs w:val="24"/>
          <w:lang w:val="kk-KZ"/>
        </w:rPr>
        <w:t xml:space="preserve"> и рекламных статей.</w:t>
      </w:r>
    </w:p>
    <w:p w:rsidR="00367674" w:rsidRPr="00C9250B" w:rsidRDefault="00367674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B6" w:rsidRPr="00C9250B" w:rsidRDefault="00A663B6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3B6" w:rsidRPr="00C9250B" w:rsidSect="002F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A"/>
    <w:multiLevelType w:val="multilevel"/>
    <w:tmpl w:val="A61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5F8"/>
    <w:multiLevelType w:val="multilevel"/>
    <w:tmpl w:val="760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F0E91"/>
    <w:multiLevelType w:val="multilevel"/>
    <w:tmpl w:val="72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7674"/>
    <w:rsid w:val="002F294E"/>
    <w:rsid w:val="00367674"/>
    <w:rsid w:val="005405DC"/>
    <w:rsid w:val="00711411"/>
    <w:rsid w:val="00856A3D"/>
    <w:rsid w:val="008C543F"/>
    <w:rsid w:val="00996134"/>
    <w:rsid w:val="00A663B6"/>
    <w:rsid w:val="00C9250B"/>
    <w:rsid w:val="00D00BF1"/>
    <w:rsid w:val="00E016F5"/>
    <w:rsid w:val="00E3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htelecom.yvision.kz/post/373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4779835/?frommai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grinews.kz/picture_art/opredelilis-pervyie-finalistyi-konkursa-almatyi-v-100-slovah-241629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rofit.kz/articles/2007-Legendarnaya-Virgin-budet-rabotat-v-Kazahsta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serikbay.beysenbek1</cp:lastModifiedBy>
  <cp:revision>2</cp:revision>
  <dcterms:created xsi:type="dcterms:W3CDTF">2018-11-20T04:20:00Z</dcterms:created>
  <dcterms:modified xsi:type="dcterms:W3CDTF">2018-11-20T04:20:00Z</dcterms:modified>
</cp:coreProperties>
</file>